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72" w:rsidRPr="001A4B9E" w:rsidRDefault="00847072" w:rsidP="008470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ASCC Assessment Panel</w:t>
      </w:r>
    </w:p>
    <w:p w:rsidR="00847072" w:rsidRPr="001A4B9E" w:rsidRDefault="00733DE4" w:rsidP="0073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847072">
        <w:rPr>
          <w:rFonts w:ascii="Times New Roman" w:hAnsi="Times New Roman" w:cs="Times New Roman"/>
          <w:sz w:val="24"/>
          <w:szCs w:val="24"/>
        </w:rPr>
        <w:t xml:space="preserve"> </w:t>
      </w:r>
      <w:r w:rsidR="00847072" w:rsidRPr="001A4B9E">
        <w:rPr>
          <w:rFonts w:ascii="Times New Roman" w:hAnsi="Times New Roman" w:cs="Times New Roman"/>
          <w:sz w:val="24"/>
          <w:szCs w:val="24"/>
        </w:rPr>
        <w:t>Minutes</w:t>
      </w:r>
    </w:p>
    <w:p w:rsidR="00847072" w:rsidRPr="001A4B9E" w:rsidRDefault="00847072" w:rsidP="0084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072" w:rsidRPr="001A4B9E" w:rsidRDefault="00D96D8A" w:rsidP="0084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October 20</w:t>
      </w:r>
      <w:r w:rsidR="00847072">
        <w:rPr>
          <w:rFonts w:ascii="Times New Roman" w:hAnsi="Times New Roman" w:cs="Times New Roman"/>
          <w:sz w:val="24"/>
          <w:szCs w:val="24"/>
        </w:rPr>
        <w:t>, 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12:00pm</w:t>
      </w:r>
      <w:r w:rsidR="00847072" w:rsidRPr="001A4B9E">
        <w:rPr>
          <w:rFonts w:ascii="Times New Roman" w:hAnsi="Times New Roman" w:cs="Times New Roman"/>
          <w:sz w:val="24"/>
          <w:szCs w:val="24"/>
        </w:rPr>
        <w:t>-1:30pm</w:t>
      </w:r>
    </w:p>
    <w:p w:rsidR="00847072" w:rsidRPr="001A4B9E" w:rsidRDefault="00847072" w:rsidP="008470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847072" w:rsidRPr="001A4B9E" w:rsidRDefault="00847072" w:rsidP="00847072">
      <w:pPr>
        <w:pStyle w:val="NormalWeb"/>
        <w:spacing w:before="0" w:beforeAutospacing="0" w:after="0" w:afterAutospacing="0"/>
        <w:rPr>
          <w:rFonts w:eastAsia="Calibri"/>
        </w:rPr>
      </w:pPr>
    </w:p>
    <w:p w:rsidR="00847072" w:rsidRDefault="00847072" w:rsidP="00847072">
      <w:pPr>
        <w:pStyle w:val="NormalWeb"/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>ATTENDEES: Breitenberger,</w:t>
      </w:r>
      <w:r w:rsidR="003148C2">
        <w:rPr>
          <w:rFonts w:eastAsia="Calibri"/>
        </w:rPr>
        <w:t xml:space="preserve"> Collier,</w:t>
      </w:r>
      <w:r>
        <w:rPr>
          <w:rFonts w:eastAsia="Calibri"/>
        </w:rPr>
        <w:t xml:space="preserve"> </w:t>
      </w:r>
      <w:r w:rsidRPr="001A4B9E">
        <w:rPr>
          <w:rFonts w:eastAsia="Calibri"/>
        </w:rPr>
        <w:t xml:space="preserve">Hogle, </w:t>
      </w:r>
      <w:r>
        <w:rPr>
          <w:rFonts w:eastAsia="Calibri"/>
        </w:rPr>
        <w:t xml:space="preserve">Jenkins, </w:t>
      </w:r>
      <w:r w:rsidRPr="001A4B9E">
        <w:rPr>
          <w:rFonts w:eastAsia="Calibri"/>
        </w:rPr>
        <w:t>Krissek</w:t>
      </w:r>
      <w:r w:rsidR="00D96D8A">
        <w:rPr>
          <w:rFonts w:eastAsia="Calibri"/>
        </w:rPr>
        <w:t>, Lin</w:t>
      </w:r>
      <w:r w:rsidR="00DC1F4B">
        <w:rPr>
          <w:rFonts w:eastAsia="Calibri"/>
        </w:rPr>
        <w:t xml:space="preserve">, </w:t>
      </w:r>
      <w:r w:rsidR="003148C2">
        <w:rPr>
          <w:rFonts w:eastAsia="Calibri"/>
        </w:rPr>
        <w:t xml:space="preserve">Nini </w:t>
      </w:r>
    </w:p>
    <w:p w:rsidR="00847072" w:rsidRDefault="00847072" w:rsidP="00847072">
      <w:pPr>
        <w:pStyle w:val="NormalWeb"/>
        <w:spacing w:before="0" w:beforeAutospacing="0" w:after="0" w:afterAutospacing="0"/>
        <w:rPr>
          <w:rFonts w:eastAsia="Calibri"/>
        </w:rPr>
      </w:pPr>
    </w:p>
    <w:p w:rsidR="00847072" w:rsidRDefault="00847072" w:rsidP="0084707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22222"/>
          <w:sz w:val="20"/>
          <w:szCs w:val="20"/>
          <w:bdr w:val="none" w:sz="0" w:space="0" w:color="auto" w:frame="1"/>
        </w:rPr>
      </w:pPr>
    </w:p>
    <w:p w:rsidR="00847072" w:rsidRPr="00D96D8A" w:rsidRDefault="00847072" w:rsidP="0084707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D8A">
        <w:rPr>
          <w:rFonts w:ascii="Times New Roman" w:eastAsia="Calibri" w:hAnsi="Times New Roman" w:cs="Times New Roman"/>
          <w:sz w:val="24"/>
          <w:szCs w:val="24"/>
        </w:rPr>
        <w:t>Agenda:</w:t>
      </w:r>
    </w:p>
    <w:p w:rsidR="00847072" w:rsidRDefault="00847072" w:rsidP="00847072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D8A">
        <w:rPr>
          <w:rFonts w:ascii="Times New Roman" w:eastAsia="Calibri" w:hAnsi="Times New Roman" w:cs="Times New Roman"/>
          <w:sz w:val="24"/>
          <w:szCs w:val="24"/>
        </w:rPr>
        <w:t>Approval of 4-16-14 Minutes</w:t>
      </w:r>
    </w:p>
    <w:p w:rsidR="00D96D8A" w:rsidRPr="00D96D8A" w:rsidRDefault="00D96D8A" w:rsidP="00D96D8A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Krissek,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 Nini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unanimously approved </w:t>
      </w:r>
      <w:r w:rsidR="003148C2">
        <w:rPr>
          <w:rFonts w:ascii="Times New Roman" w:eastAsia="Calibri" w:hAnsi="Times New Roman" w:cs="Times New Roman"/>
          <w:sz w:val="24"/>
          <w:szCs w:val="24"/>
        </w:rPr>
        <w:br/>
      </w:r>
    </w:p>
    <w:p w:rsidR="00847072" w:rsidRDefault="00847072" w:rsidP="00847072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D8A">
        <w:rPr>
          <w:rFonts w:ascii="Times New Roman" w:eastAsia="Calibri" w:hAnsi="Times New Roman" w:cs="Times New Roman"/>
          <w:sz w:val="24"/>
          <w:szCs w:val="24"/>
        </w:rPr>
        <w:t>Determine course reports (S2) to request based on enrollment numbers</w:t>
      </w:r>
    </w:p>
    <w:p w:rsidR="005F2945" w:rsidRDefault="00DC1F4B" w:rsidP="00D96D8A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A09A3">
        <w:rPr>
          <w:rFonts w:ascii="Times New Roman" w:eastAsia="Calibri" w:hAnsi="Times New Roman" w:cs="Times New Roman"/>
          <w:b/>
          <w:sz w:val="24"/>
          <w:szCs w:val="24"/>
        </w:rPr>
        <w:t>Historical Study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6D8A" w:rsidRDefault="00DC1F4B" w:rsidP="005F2945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History 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is submitting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departmental report 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and will not be requested to submit course set reports. If they are not addressing the GE Social Diversity category </w:t>
      </w:r>
      <w:r w:rsidR="00C55266">
        <w:rPr>
          <w:rFonts w:ascii="Times New Roman" w:eastAsia="Calibri" w:hAnsi="Times New Roman" w:cs="Times New Roman"/>
          <w:sz w:val="24"/>
          <w:szCs w:val="24"/>
        </w:rPr>
        <w:t>in their departmental report, the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 courses</w:t>
      </w:r>
      <w:r w:rsidR="00C55266">
        <w:rPr>
          <w:rFonts w:ascii="Times New Roman" w:eastAsia="Calibri" w:hAnsi="Times New Roman" w:cs="Times New Roman"/>
          <w:sz w:val="24"/>
          <w:szCs w:val="24"/>
        </w:rPr>
        <w:t xml:space="preserve"> that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 fulfill </w:t>
      </w:r>
      <w:r w:rsidR="00C55266">
        <w:rPr>
          <w:rFonts w:ascii="Times New Roman" w:eastAsia="Calibri" w:hAnsi="Times New Roman" w:cs="Times New Roman"/>
          <w:sz w:val="24"/>
          <w:szCs w:val="24"/>
        </w:rPr>
        <w:t xml:space="preserve">that category may </w:t>
      </w:r>
      <w:r w:rsidR="005F2945">
        <w:rPr>
          <w:rFonts w:ascii="Times New Roman" w:eastAsia="Calibri" w:hAnsi="Times New Roman" w:cs="Times New Roman"/>
          <w:sz w:val="24"/>
          <w:szCs w:val="24"/>
        </w:rPr>
        <w:t xml:space="preserve">be requested in the future. </w:t>
      </w:r>
    </w:p>
    <w:p w:rsidR="00DC1F4B" w:rsidRDefault="00DC1F4B" w:rsidP="00DC1F4B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History of Art courses</w:t>
      </w:r>
      <w:r w:rsidR="00C5526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2001 &amp; 2002</w:t>
      </w:r>
      <w:r w:rsidR="00C55266">
        <w:rPr>
          <w:rFonts w:ascii="Times New Roman" w:eastAsia="Calibri" w:hAnsi="Times New Roman" w:cs="Times New Roman"/>
          <w:sz w:val="24"/>
          <w:szCs w:val="24"/>
        </w:rPr>
        <w:t xml:space="preserve">, were submitted with course set S1 reports and should not be requested again. </w:t>
      </w:r>
    </w:p>
    <w:p w:rsidR="00C55266" w:rsidRDefault="00C55266" w:rsidP="00C55266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Majority of the top enrollment courses are covered by the History and History of Art.  </w:t>
      </w:r>
    </w:p>
    <w:p w:rsidR="00301CAC" w:rsidRPr="00C55266" w:rsidRDefault="00C55266" w:rsidP="00C55266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Request ECON 4130 and 4140. These </w:t>
      </w:r>
      <w:r w:rsidR="00DC1F4B" w:rsidRPr="00C55266">
        <w:rPr>
          <w:rFonts w:ascii="Times New Roman" w:eastAsia="Calibri" w:hAnsi="Times New Roman" w:cs="Times New Roman"/>
          <w:sz w:val="24"/>
          <w:szCs w:val="24"/>
        </w:rPr>
        <w:t>two courses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were</w:t>
      </w:r>
      <w:r w:rsidR="00DC1F4B" w:rsidRPr="00C55266">
        <w:rPr>
          <w:rFonts w:ascii="Times New Roman" w:eastAsia="Calibri" w:hAnsi="Times New Roman" w:cs="Times New Roman"/>
          <w:sz w:val="24"/>
          <w:szCs w:val="24"/>
        </w:rPr>
        <w:t xml:space="preserve"> specifically created for </w:t>
      </w:r>
      <w:r>
        <w:rPr>
          <w:rFonts w:ascii="Times New Roman" w:eastAsia="Calibri" w:hAnsi="Times New Roman" w:cs="Times New Roman"/>
          <w:sz w:val="24"/>
          <w:szCs w:val="24"/>
        </w:rPr>
        <w:t>the Historical Study</w:t>
      </w:r>
      <w:r w:rsidR="00DC1F4B" w:rsidRPr="00C55266">
        <w:rPr>
          <w:rFonts w:ascii="Times New Roman" w:eastAsia="Calibri" w:hAnsi="Times New Roman" w:cs="Times New Roman"/>
          <w:sz w:val="24"/>
          <w:szCs w:val="24"/>
        </w:rPr>
        <w:t xml:space="preserve"> GE category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1F4B" w:rsidRPr="00C552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266" w:rsidRDefault="00C55266" w:rsidP="00373A4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Courses to request: 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ECON 4130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AFAMAST 1122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AFAMST 1121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EDUPAES 2211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CSFRST 2374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EDUPAES 2210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ECON 4140</w:t>
      </w:r>
    </w:p>
    <w:p w:rsid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INTSTDS 3350</w:t>
      </w:r>
    </w:p>
    <w:p w:rsidR="00373A43" w:rsidRPr="00C55266" w:rsidRDefault="00C55266" w:rsidP="00C55266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ENGR 2361</w:t>
      </w:r>
    </w:p>
    <w:p w:rsidR="00D84CCE" w:rsidRDefault="00DC1F4B" w:rsidP="00D96D8A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A09A3">
        <w:rPr>
          <w:rFonts w:ascii="Times New Roman" w:eastAsia="Calibri" w:hAnsi="Times New Roman" w:cs="Times New Roman"/>
          <w:b/>
          <w:sz w:val="24"/>
          <w:szCs w:val="24"/>
        </w:rPr>
        <w:t>Foreign Language</w:t>
      </w:r>
    </w:p>
    <w:p w:rsidR="00DC1F4B" w:rsidRDefault="00DC1F4B" w:rsidP="00D84CCE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Spanish &amp; Portuguese </w:t>
      </w:r>
      <w:r w:rsidR="00D84CCE">
        <w:rPr>
          <w:rFonts w:ascii="Times New Roman" w:eastAsia="Calibri" w:hAnsi="Times New Roman" w:cs="Times New Roman"/>
          <w:sz w:val="24"/>
          <w:szCs w:val="24"/>
        </w:rPr>
        <w:t xml:space="preserve">will be submitting a departmental report during </w:t>
      </w:r>
      <w:proofErr w:type="gramStart"/>
      <w:r w:rsidR="00D84CCE">
        <w:rPr>
          <w:rFonts w:ascii="Times New Roman" w:eastAsia="Calibri" w:hAnsi="Times New Roman" w:cs="Times New Roman"/>
          <w:sz w:val="24"/>
          <w:szCs w:val="24"/>
        </w:rPr>
        <w:t>Summer</w:t>
      </w:r>
      <w:proofErr w:type="gramEnd"/>
      <w:r w:rsidR="00D84CCE">
        <w:rPr>
          <w:rFonts w:ascii="Times New Roman" w:eastAsia="Calibri" w:hAnsi="Times New Roman" w:cs="Times New Roman"/>
          <w:sz w:val="24"/>
          <w:szCs w:val="24"/>
        </w:rPr>
        <w:t xml:space="preserve"> 2015. </w:t>
      </w:r>
    </w:p>
    <w:p w:rsidR="00D84CCE" w:rsidRDefault="00301CAC" w:rsidP="00301CA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4CCE">
        <w:rPr>
          <w:rFonts w:ascii="Times New Roman" w:eastAsia="Calibri" w:hAnsi="Times New Roman" w:cs="Times New Roman"/>
          <w:sz w:val="24"/>
          <w:szCs w:val="24"/>
        </w:rPr>
        <w:t>Spanish has 5 of the top 6 foreign language courses</w:t>
      </w:r>
      <w:r w:rsidR="00D84CCE">
        <w:rPr>
          <w:rFonts w:ascii="Times New Roman" w:eastAsia="Calibri" w:hAnsi="Times New Roman" w:cs="Times New Roman"/>
          <w:sz w:val="24"/>
          <w:szCs w:val="24"/>
        </w:rPr>
        <w:t xml:space="preserve"> based on enrollment</w:t>
      </w:r>
      <w:r w:rsidR="00167B7B">
        <w:rPr>
          <w:rFonts w:ascii="Times New Roman" w:eastAsia="Calibri" w:hAnsi="Times New Roman" w:cs="Times New Roman"/>
          <w:sz w:val="24"/>
          <w:szCs w:val="24"/>
        </w:rPr>
        <w:t>.</w:t>
      </w:r>
      <w:r w:rsidR="00D84CCE" w:rsidRPr="00D84C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25C4" w:rsidRPr="00D84CCE" w:rsidRDefault="00D84CCE" w:rsidP="00301CA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It would be beneficial to request </w:t>
      </w:r>
      <w:r w:rsidR="009925C4" w:rsidRPr="00D84CCE">
        <w:rPr>
          <w:rFonts w:ascii="Times New Roman" w:eastAsia="Calibri" w:hAnsi="Times New Roman" w:cs="Times New Roman"/>
          <w:sz w:val="24"/>
          <w:szCs w:val="24"/>
        </w:rPr>
        <w:t>ASL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 they are the m</w:t>
      </w:r>
      <w:r w:rsidR="009925C4" w:rsidRPr="00D84CCE">
        <w:rPr>
          <w:rFonts w:ascii="Times New Roman" w:eastAsia="Calibri" w:hAnsi="Times New Roman" w:cs="Times New Roman"/>
          <w:sz w:val="24"/>
          <w:szCs w:val="24"/>
        </w:rPr>
        <w:t>ost different from Spanish &amp; Portuguese</w:t>
      </w:r>
      <w:r w:rsidR="00167B7B">
        <w:rPr>
          <w:rFonts w:ascii="Times New Roman" w:eastAsia="Calibri" w:hAnsi="Times New Roman" w:cs="Times New Roman"/>
          <w:sz w:val="24"/>
          <w:szCs w:val="24"/>
        </w:rPr>
        <w:t>.</w:t>
      </w:r>
      <w:r w:rsidR="009925C4" w:rsidRPr="00D84C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09A3" w:rsidRDefault="00D84CCE" w:rsidP="00301CA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Foreign L</w:t>
      </w:r>
      <w:r w:rsidR="00CA09A3">
        <w:rPr>
          <w:rFonts w:ascii="Times New Roman" w:eastAsia="Calibri" w:hAnsi="Times New Roman" w:cs="Times New Roman"/>
          <w:sz w:val="24"/>
          <w:szCs w:val="24"/>
        </w:rPr>
        <w:t xml:space="preserve">anguage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course set </w:t>
      </w:r>
      <w:r w:rsidR="00CA09A3">
        <w:rPr>
          <w:rFonts w:ascii="Times New Roman" w:eastAsia="Calibri" w:hAnsi="Times New Roman" w:cs="Times New Roman"/>
          <w:sz w:val="24"/>
          <w:szCs w:val="24"/>
        </w:rPr>
        <w:t xml:space="preserve">reports </w:t>
      </w:r>
      <w:r>
        <w:rPr>
          <w:rFonts w:ascii="Times New Roman" w:eastAsia="Calibri" w:hAnsi="Times New Roman" w:cs="Times New Roman"/>
          <w:sz w:val="24"/>
          <w:szCs w:val="24"/>
        </w:rPr>
        <w:t>will be requested in</w:t>
      </w:r>
      <w:r w:rsidR="00CA09A3">
        <w:rPr>
          <w:rFonts w:ascii="Times New Roman" w:eastAsia="Calibri" w:hAnsi="Times New Roman" w:cs="Times New Roman"/>
          <w:sz w:val="24"/>
          <w:szCs w:val="24"/>
        </w:rPr>
        <w:t xml:space="preserve"> S3 to use </w:t>
      </w:r>
      <w:r>
        <w:rPr>
          <w:rFonts w:ascii="Times New Roman" w:eastAsia="Calibri" w:hAnsi="Times New Roman" w:cs="Times New Roman"/>
          <w:sz w:val="24"/>
          <w:szCs w:val="24"/>
        </w:rPr>
        <w:t>the Foreign L</w:t>
      </w:r>
      <w:r w:rsidR="00CA09A3">
        <w:rPr>
          <w:rFonts w:ascii="Times New Roman" w:eastAsia="Calibri" w:hAnsi="Times New Roman" w:cs="Times New Roman"/>
          <w:sz w:val="24"/>
          <w:szCs w:val="24"/>
        </w:rPr>
        <w:t xml:space="preserve">anguage rubric developed by Spanish &amp; Portuguese </w:t>
      </w:r>
    </w:p>
    <w:p w:rsidR="00A346FE" w:rsidRPr="00D84CCE" w:rsidRDefault="00D84CCE" w:rsidP="00301CA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4CCE">
        <w:rPr>
          <w:rFonts w:ascii="Times New Roman" w:eastAsia="Calibri" w:hAnsi="Times New Roman" w:cs="Times New Roman"/>
          <w:sz w:val="24"/>
          <w:szCs w:val="24"/>
        </w:rPr>
        <w:t xml:space="preserve">Spanish &amp; Portuguese will be contacted to determine when the Panel can expect to receive the Foreign Language rubric being developed. </w:t>
      </w:r>
    </w:p>
    <w:p w:rsidR="00D07422" w:rsidRDefault="00D07422" w:rsidP="00D07422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07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Global Studies </w:t>
      </w:r>
    </w:p>
    <w:p w:rsidR="00391340" w:rsidRPr="00391340" w:rsidRDefault="00437FB9" w:rsidP="003913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May consider focusing on</w:t>
      </w:r>
      <w:r w:rsidR="00510A52">
        <w:rPr>
          <w:rFonts w:ascii="Times New Roman" w:eastAsia="Calibri" w:hAnsi="Times New Roman" w:cs="Times New Roman"/>
          <w:sz w:val="24"/>
          <w:szCs w:val="24"/>
        </w:rPr>
        <w:t xml:space="preserve"> courses that have Global Studies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GE status </w:t>
      </w:r>
      <w:r w:rsidR="00510A52">
        <w:rPr>
          <w:rFonts w:ascii="Times New Roman" w:eastAsia="Calibri" w:hAnsi="Times New Roman" w:cs="Times New Roman"/>
          <w:sz w:val="24"/>
          <w:szCs w:val="24"/>
        </w:rPr>
        <w:t>only because many of them overlap 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other categories. </w:t>
      </w:r>
      <w:r w:rsidR="00510A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633C" w:rsidRDefault="00437FB9" w:rsidP="00437FB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3C633C">
        <w:rPr>
          <w:rFonts w:ascii="Times New Roman" w:eastAsia="Calibri" w:hAnsi="Times New Roman" w:cs="Times New Roman"/>
          <w:sz w:val="24"/>
          <w:szCs w:val="24"/>
        </w:rPr>
        <w:t>Global Studi</w:t>
      </w:r>
      <w:r>
        <w:rPr>
          <w:rFonts w:ascii="Times New Roman" w:eastAsia="Calibri" w:hAnsi="Times New Roman" w:cs="Times New Roman"/>
          <w:sz w:val="24"/>
          <w:szCs w:val="24"/>
        </w:rPr>
        <w:t>es rubric would help with CS S2. The courses will be determined once receiving the Global Studies rubric.</w:t>
      </w:r>
      <w:r w:rsidR="003C63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C633C" w:rsidRDefault="00865930" w:rsidP="003C633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Writing and Communication Level 2 </w:t>
      </w:r>
    </w:p>
    <w:p w:rsidR="002E2427" w:rsidRPr="002E2427" w:rsidRDefault="002E2427" w:rsidP="001449D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2427">
        <w:rPr>
          <w:rFonts w:ascii="Times New Roman" w:eastAsia="Calibri" w:hAnsi="Times New Roman" w:cs="Times New Roman"/>
          <w:sz w:val="24"/>
          <w:szCs w:val="24"/>
        </w:rPr>
        <w:t xml:space="preserve">A rubric was developed for writing but was complicated and a higher level than what is expected of a GE course. </w:t>
      </w:r>
    </w:p>
    <w:p w:rsidR="002E2427" w:rsidRPr="002E2427" w:rsidRDefault="002E2427" w:rsidP="001449D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E2427">
        <w:rPr>
          <w:rFonts w:ascii="Times New Roman" w:eastAsia="Calibri" w:hAnsi="Times New Roman" w:cs="Times New Roman"/>
          <w:sz w:val="24"/>
          <w:szCs w:val="24"/>
        </w:rPr>
        <w:t xml:space="preserve">The VALUE writing rubrics should be provided to representatives. </w:t>
      </w:r>
    </w:p>
    <w:p w:rsidR="00AC730F" w:rsidRPr="00D01863" w:rsidRDefault="00B04307" w:rsidP="003C633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Three of the top 6 high enrollment courses aren’t typically taken by </w:t>
      </w:r>
      <w:r w:rsidR="00D01863">
        <w:rPr>
          <w:rFonts w:ascii="Times New Roman" w:eastAsia="Calibri" w:hAnsi="Times New Roman" w:cs="Times New Roman"/>
          <w:sz w:val="24"/>
          <w:szCs w:val="24"/>
        </w:rPr>
        <w:t>students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GE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 but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rather </w:t>
      </w:r>
      <w:r w:rsidR="00167B7B">
        <w:rPr>
          <w:rFonts w:ascii="Times New Roman" w:eastAsia="Calibri" w:hAnsi="Times New Roman" w:cs="Times New Roman"/>
          <w:sz w:val="24"/>
          <w:szCs w:val="24"/>
        </w:rPr>
        <w:t>for the major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For example, students in </w:t>
      </w:r>
      <w:r w:rsidR="00D01863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sychology can take the course to fulfill the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 major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requirements 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if they want </w:t>
      </w:r>
      <w:r w:rsidR="00B70680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and take something else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fulfill the GE Writing &amp; Communication Level 2 requirement. </w:t>
      </w:r>
    </w:p>
    <w:p w:rsidR="00D01863" w:rsidRPr="00C509E9" w:rsidRDefault="005576B9" w:rsidP="003C633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is v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alue </w:t>
      </w:r>
      <w:r w:rsidR="00B70680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requesting courses outside of ASC</w:t>
      </w:r>
      <w:r w:rsidR="00B70680">
        <w:rPr>
          <w:rFonts w:ascii="Times New Roman" w:eastAsia="Calibri" w:hAnsi="Times New Roman" w:cs="Times New Roman"/>
          <w:sz w:val="24"/>
          <w:szCs w:val="24"/>
        </w:rPr>
        <w:t>.</w:t>
      </w:r>
      <w:r w:rsidR="00D018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09E9" w:rsidRDefault="00C509E9" w:rsidP="00C509E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01863">
        <w:rPr>
          <w:rFonts w:ascii="Times New Roman" w:eastAsia="Calibri" w:hAnsi="Times New Roman" w:cs="Times New Roman"/>
          <w:sz w:val="24"/>
          <w:szCs w:val="24"/>
        </w:rPr>
        <w:t xml:space="preserve">Need to emphasize </w:t>
      </w:r>
      <w:r>
        <w:rPr>
          <w:rFonts w:ascii="Times New Roman" w:eastAsia="Calibri" w:hAnsi="Times New Roman" w:cs="Times New Roman"/>
          <w:sz w:val="24"/>
          <w:szCs w:val="24"/>
        </w:rPr>
        <w:t>oral communication</w:t>
      </w:r>
      <w:r w:rsidRPr="00D018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it needs to be clearly stated in the rubric </w:t>
      </w:r>
    </w:p>
    <w:p w:rsidR="00C509E9" w:rsidRPr="00C509E9" w:rsidRDefault="00C509E9" w:rsidP="00C509E9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Board of Regents has requirement for Oral Communication </w:t>
      </w:r>
    </w:p>
    <w:p w:rsidR="00D01863" w:rsidRPr="00B70680" w:rsidRDefault="005576B9" w:rsidP="003C633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Request </w:t>
      </w:r>
      <w:r w:rsidR="00D01863" w:rsidRPr="005576B9">
        <w:rPr>
          <w:rFonts w:ascii="Times New Roman" w:eastAsia="Calibri" w:hAnsi="Times New Roman" w:cs="Times New Roman"/>
          <w:sz w:val="24"/>
          <w:szCs w:val="24"/>
        </w:rPr>
        <w:t xml:space="preserve">Top 14 courses 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COMM 2367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ENGR 2367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PSYCH 2367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2367.01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2367.02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ECON 2367.02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ARTEDUC 2367.0</w:t>
      </w:r>
      <w:r w:rsidR="00E9133D">
        <w:rPr>
          <w:rFonts w:ascii="Times New Roman" w:eastAsia="Calibri" w:hAnsi="Times New Roman" w:cs="Times New Roman"/>
          <w:sz w:val="24"/>
          <w:szCs w:val="24"/>
        </w:rPr>
        <w:t>1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COMPSTD 2367.08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ARTEDUC 2367.03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SOCIOL 2367.02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HDFS 2367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PHILOS 2367</w:t>
      </w:r>
    </w:p>
    <w:p w:rsidR="00B70680" w:rsidRP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ANIMSCI 2367</w:t>
      </w:r>
    </w:p>
    <w:p w:rsidR="00B70680" w:rsidRDefault="00B70680" w:rsidP="00B70680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LARCH 2367</w:t>
      </w:r>
    </w:p>
    <w:p w:rsidR="00C04A93" w:rsidRPr="00C04A93" w:rsidRDefault="00C04A93" w:rsidP="00C04A93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04A93">
        <w:rPr>
          <w:rFonts w:ascii="Times New Roman" w:eastAsia="Calibri" w:hAnsi="Times New Roman" w:cs="Times New Roman"/>
          <w:b/>
          <w:sz w:val="24"/>
          <w:szCs w:val="24"/>
        </w:rPr>
        <w:t xml:space="preserve">Literature </w:t>
      </w:r>
    </w:p>
    <w:p w:rsidR="00C04A93" w:rsidRDefault="00C04A93" w:rsidP="00C04A9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Overlap with a lot of Global Studies </w:t>
      </w:r>
    </w:p>
    <w:p w:rsidR="00C04A93" w:rsidRDefault="00C04A93" w:rsidP="00C04A9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Need to report on all categories that th</w:t>
      </w:r>
      <w:r w:rsidR="00045551">
        <w:rPr>
          <w:rFonts w:ascii="Times New Roman" w:eastAsia="Calibri" w:hAnsi="Times New Roman" w:cs="Times New Roman"/>
          <w:sz w:val="24"/>
          <w:szCs w:val="24"/>
        </w:rPr>
        <w:t>ey fulfill because they overlap.</w:t>
      </w:r>
    </w:p>
    <w:p w:rsidR="00045551" w:rsidRPr="004C7D76" w:rsidRDefault="00045551" w:rsidP="00045551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Request top 10 enrollment courses plus EDUTL3356  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CLAS 2220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COMPSTD 1100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2201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PHILOS 2120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EDUTL 2368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2367.02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2290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ENGLISH 2261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CLAS 1101</w:t>
      </w:r>
    </w:p>
    <w:p w:rsid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AFAMAST 2281</w:t>
      </w:r>
    </w:p>
    <w:p w:rsidR="00045551" w:rsidRPr="00045551" w:rsidRDefault="00045551" w:rsidP="00045551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EDUTL 3356</w:t>
      </w:r>
    </w:p>
    <w:p w:rsidR="004C7D76" w:rsidRDefault="00865930" w:rsidP="004C7D76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Rubrics </w:t>
      </w:r>
      <w:r w:rsidR="004C7D76">
        <w:rPr>
          <w:rFonts w:ascii="Times New Roman" w:eastAsia="Calibri" w:hAnsi="Times New Roman" w:cs="Times New Roman"/>
          <w:sz w:val="24"/>
          <w:szCs w:val="24"/>
        </w:rPr>
        <w:t>are being created to make reporting easier. Need to be c</w:t>
      </w:r>
      <w:r w:rsidRPr="004C7D76">
        <w:rPr>
          <w:rFonts w:ascii="Times New Roman" w:eastAsia="Calibri" w:hAnsi="Times New Roman" w:cs="Times New Roman"/>
          <w:sz w:val="24"/>
          <w:szCs w:val="24"/>
        </w:rPr>
        <w:t>reating methods on the side while getting data to show that students are achieving</w:t>
      </w:r>
      <w:r w:rsidR="004C7D76">
        <w:rPr>
          <w:rFonts w:ascii="Times New Roman" w:eastAsia="Calibri" w:hAnsi="Times New Roman" w:cs="Times New Roman"/>
          <w:sz w:val="24"/>
          <w:szCs w:val="24"/>
        </w:rPr>
        <w:t xml:space="preserve"> the expected learning outcomes. </w:t>
      </w:r>
    </w:p>
    <w:p w:rsidR="00437FB9" w:rsidRPr="004C7D76" w:rsidRDefault="004C7D76" w:rsidP="004C7D76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437FB9" w:rsidRPr="004C7D76">
        <w:rPr>
          <w:rFonts w:ascii="Times New Roman" w:eastAsia="Calibri" w:hAnsi="Times New Roman" w:cs="Times New Roman"/>
          <w:sz w:val="24"/>
          <w:szCs w:val="24"/>
        </w:rPr>
        <w:t>Summary report of education abroad and service learning</w:t>
      </w:r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 findings will be written and finalized once the Panel reviews the reports received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during</w:t>
      </w:r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C7D76">
        <w:rPr>
          <w:rFonts w:ascii="Times New Roman" w:eastAsia="Calibri" w:hAnsi="Times New Roman" w:cs="Times New Roman"/>
          <w:sz w:val="24"/>
          <w:szCs w:val="24"/>
        </w:rPr>
        <w:t>Summer</w:t>
      </w:r>
      <w:proofErr w:type="gramEnd"/>
      <w:r w:rsidRPr="004C7D76">
        <w:rPr>
          <w:rFonts w:ascii="Times New Roman" w:eastAsia="Calibri" w:hAnsi="Times New Roman" w:cs="Times New Roman"/>
          <w:sz w:val="24"/>
          <w:szCs w:val="24"/>
        </w:rPr>
        <w:t xml:space="preserve"> 2014. The report will be taken to ASCC to show what is happening in these GE categories. </w:t>
      </w:r>
    </w:p>
    <w:p w:rsidR="003C633C" w:rsidRPr="00E70B16" w:rsidRDefault="003C633C" w:rsidP="003C633C">
      <w:pPr>
        <w:shd w:val="clear" w:color="auto" w:fill="FFFFFF"/>
        <w:spacing w:after="0" w:line="240" w:lineRule="auto"/>
        <w:ind w:left="144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47072" w:rsidRDefault="00847072" w:rsidP="00847072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6D8A">
        <w:rPr>
          <w:rFonts w:ascii="Times New Roman" w:eastAsia="Calibri" w:hAnsi="Times New Roman" w:cs="Times New Roman"/>
          <w:sz w:val="24"/>
          <w:szCs w:val="24"/>
        </w:rPr>
        <w:t>Review S1 Course List (pg 16 of Assessment Plan)  </w:t>
      </w:r>
    </w:p>
    <w:p w:rsidR="00D96D8A" w:rsidRPr="00D96D8A" w:rsidRDefault="004C7D76" w:rsidP="00D96D8A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One report per Panel member was distributed for review to discuss at the nex</w:t>
      </w:r>
      <w:r w:rsidR="00DA348A"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Panel meeting. </w:t>
      </w:r>
    </w:p>
    <w:p w:rsidR="00D96D8A" w:rsidRPr="00D96D8A" w:rsidRDefault="00D96D8A" w:rsidP="004C7D76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47072" w:rsidRDefault="008B1F99" w:rsidP="00847072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Priorities </w:t>
      </w:r>
    </w:p>
    <w:p w:rsidR="002B089C" w:rsidRDefault="008B1F99" w:rsidP="007B1A5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B1A5C">
        <w:rPr>
          <w:rFonts w:ascii="Times New Roman" w:eastAsia="Calibri" w:hAnsi="Times New Roman" w:cs="Times New Roman"/>
          <w:sz w:val="24"/>
          <w:szCs w:val="24"/>
        </w:rPr>
        <w:t>Rubric</w:t>
      </w:r>
      <w:r w:rsidR="004C7D76" w:rsidRPr="007B1A5C">
        <w:rPr>
          <w:rFonts w:ascii="Times New Roman" w:eastAsia="Calibri" w:hAnsi="Times New Roman" w:cs="Times New Roman"/>
          <w:sz w:val="24"/>
          <w:szCs w:val="24"/>
        </w:rPr>
        <w:t>s</w:t>
      </w:r>
      <w:r w:rsidR="007B1A5C">
        <w:rPr>
          <w:rFonts w:ascii="Times New Roman" w:eastAsia="Calibri" w:hAnsi="Times New Roman" w:cs="Times New Roman"/>
          <w:sz w:val="24"/>
          <w:szCs w:val="24"/>
        </w:rPr>
        <w:t xml:space="preserve"> - r</w:t>
      </w:r>
      <w:r w:rsidR="004C7D76" w:rsidRPr="007B1A5C">
        <w:rPr>
          <w:rFonts w:ascii="Times New Roman" w:eastAsia="Calibri" w:hAnsi="Times New Roman" w:cs="Times New Roman"/>
          <w:sz w:val="24"/>
          <w:szCs w:val="24"/>
        </w:rPr>
        <w:t>eminder email</w:t>
      </w:r>
      <w:r w:rsidR="003C633C" w:rsidRPr="007B1A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D76" w:rsidRPr="007B1A5C">
        <w:rPr>
          <w:rFonts w:ascii="Times New Roman" w:eastAsia="Calibri" w:hAnsi="Times New Roman" w:cs="Times New Roman"/>
          <w:sz w:val="24"/>
          <w:szCs w:val="24"/>
        </w:rPr>
        <w:t>will be sent to representatives requesting the rubric.</w:t>
      </w:r>
      <w:r w:rsidR="003C633C" w:rsidRPr="007B1A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7DA9" w:rsidRDefault="00C97DA9" w:rsidP="007B1A5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Need to ensure that distance learning GE courses are doing assessment and providing results. </w:t>
      </w:r>
    </w:p>
    <w:p w:rsidR="0055442A" w:rsidRDefault="0055442A"/>
    <w:sectPr w:rsidR="0055442A" w:rsidSect="00554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6F25"/>
    <w:multiLevelType w:val="multilevel"/>
    <w:tmpl w:val="C438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7072"/>
    <w:rsid w:val="000009D8"/>
    <w:rsid w:val="00045551"/>
    <w:rsid w:val="000565B4"/>
    <w:rsid w:val="001449D2"/>
    <w:rsid w:val="00167B7B"/>
    <w:rsid w:val="001D2EF1"/>
    <w:rsid w:val="00245F4C"/>
    <w:rsid w:val="00291C7C"/>
    <w:rsid w:val="002B089C"/>
    <w:rsid w:val="002E2427"/>
    <w:rsid w:val="00301CAC"/>
    <w:rsid w:val="003148C2"/>
    <w:rsid w:val="00373A43"/>
    <w:rsid w:val="00391340"/>
    <w:rsid w:val="003C633C"/>
    <w:rsid w:val="00422EE2"/>
    <w:rsid w:val="00437FB9"/>
    <w:rsid w:val="004C7D76"/>
    <w:rsid w:val="00510A52"/>
    <w:rsid w:val="005307A8"/>
    <w:rsid w:val="0055442A"/>
    <w:rsid w:val="005576B9"/>
    <w:rsid w:val="005F2945"/>
    <w:rsid w:val="00657CA8"/>
    <w:rsid w:val="0068671B"/>
    <w:rsid w:val="0068710D"/>
    <w:rsid w:val="00733DE4"/>
    <w:rsid w:val="007B1A5C"/>
    <w:rsid w:val="00805E45"/>
    <w:rsid w:val="00847072"/>
    <w:rsid w:val="00865930"/>
    <w:rsid w:val="008A775C"/>
    <w:rsid w:val="008B1F99"/>
    <w:rsid w:val="009925C4"/>
    <w:rsid w:val="00A346FE"/>
    <w:rsid w:val="00A94F9A"/>
    <w:rsid w:val="00AC730F"/>
    <w:rsid w:val="00AD6D3E"/>
    <w:rsid w:val="00B04307"/>
    <w:rsid w:val="00B70680"/>
    <w:rsid w:val="00BB2EBA"/>
    <w:rsid w:val="00BC5709"/>
    <w:rsid w:val="00C04A93"/>
    <w:rsid w:val="00C509E9"/>
    <w:rsid w:val="00C52E25"/>
    <w:rsid w:val="00C55266"/>
    <w:rsid w:val="00C97DA9"/>
    <w:rsid w:val="00CA09A3"/>
    <w:rsid w:val="00CF6813"/>
    <w:rsid w:val="00D004B3"/>
    <w:rsid w:val="00D01863"/>
    <w:rsid w:val="00D07422"/>
    <w:rsid w:val="00D153B7"/>
    <w:rsid w:val="00D84CCE"/>
    <w:rsid w:val="00D96D8A"/>
    <w:rsid w:val="00DA348A"/>
    <w:rsid w:val="00DC1F4B"/>
    <w:rsid w:val="00DE1098"/>
    <w:rsid w:val="00E70B16"/>
    <w:rsid w:val="00E9133D"/>
    <w:rsid w:val="00F12ED0"/>
    <w:rsid w:val="00F5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3</cp:revision>
  <dcterms:created xsi:type="dcterms:W3CDTF">2014-11-12T16:58:00Z</dcterms:created>
  <dcterms:modified xsi:type="dcterms:W3CDTF">2015-06-19T15:13:00Z</dcterms:modified>
</cp:coreProperties>
</file>